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</w:rPr>
        <w:t>附件1：</w:t>
      </w:r>
    </w:p>
    <w:p>
      <w:pPr>
        <w:jc w:val="center"/>
        <w:rPr>
          <w:rFonts w:ascii="华康简标题宋" w:hAnsi="仿宋_GB2312" w:cs="Times New Roman"/>
          <w:b w:val="0"/>
          <w:bCs/>
          <w:color w:val="auto"/>
          <w:sz w:val="40"/>
          <w:szCs w:val="31"/>
        </w:rPr>
      </w:pPr>
      <w:r>
        <w:rPr>
          <w:rFonts w:hint="eastAsia" w:ascii="华康简标题宋" w:hAnsi="仿宋_GB2312" w:eastAsia="华康简标题宋" w:cs="Times New Roman"/>
          <w:b/>
          <w:bCs w:val="0"/>
          <w:color w:val="auto"/>
          <w:sz w:val="40"/>
          <w:szCs w:val="31"/>
        </w:rPr>
        <w:t xml:space="preserve"> </w:t>
      </w:r>
      <w:bookmarkStart w:id="0" w:name="_GoBack"/>
      <w:r>
        <w:rPr>
          <w:rFonts w:hint="eastAsia" w:ascii="华康简标题宋" w:hAnsi="仿宋_GB2312" w:eastAsia="华康简标题宋" w:cs="Times New Roman"/>
          <w:b w:val="0"/>
          <w:bCs/>
          <w:color w:val="auto"/>
          <w:sz w:val="40"/>
          <w:szCs w:val="31"/>
        </w:rPr>
        <w:t>“我+书房”</w:t>
      </w:r>
      <w:r>
        <w:rPr>
          <w:rFonts w:hint="eastAsia" w:ascii="华康简标题宋" w:hAnsi="仿宋_GB2312" w:eastAsia="华康简标题宋" w:cs="Times New Roman"/>
          <w:b w:val="0"/>
          <w:bCs/>
          <w:color w:val="auto"/>
          <w:sz w:val="40"/>
          <w:szCs w:val="31"/>
          <w:lang w:val="en-US" w:eastAsia="zh-CN"/>
        </w:rPr>
        <w:t>家庭图书馆</w:t>
      </w:r>
      <w:r>
        <w:rPr>
          <w:rFonts w:hint="eastAsia" w:ascii="华康简标题宋" w:hAnsi="仿宋_GB2312" w:eastAsia="华康简标题宋" w:cs="Times New Roman"/>
          <w:b w:val="0"/>
          <w:bCs/>
          <w:color w:val="auto"/>
          <w:sz w:val="40"/>
          <w:szCs w:val="31"/>
        </w:rPr>
        <w:t>申请表</w:t>
      </w:r>
    </w:p>
    <w:bookmarkEnd w:id="0"/>
    <w:p>
      <w:pPr>
        <w:rPr>
          <w:rFonts w:ascii="华康简标题宋" w:hAnsi="仿宋_GB2312" w:cs="Times New Roman"/>
          <w:b/>
          <w:color w:val="auto"/>
          <w:szCs w:val="31"/>
        </w:rPr>
      </w:pPr>
    </w:p>
    <w:p>
      <w:pPr>
        <w:rPr>
          <w:rFonts w:ascii="华康简标题宋" w:hAnsi="仿宋_GB2312" w:cs="Times New Roman"/>
          <w:b/>
          <w:color w:val="auto"/>
          <w:sz w:val="48"/>
          <w:szCs w:val="31"/>
        </w:rPr>
      </w:pPr>
      <w:r>
        <w:rPr>
          <w:rFonts w:ascii="华康简标题宋" w:hAnsi="仿宋_GB2312" w:cs="Times New Roman"/>
          <w:b/>
          <w:color w:val="auto"/>
          <w:sz w:val="24"/>
          <w:szCs w:val="31"/>
        </w:rPr>
        <w:t>单位</w:t>
      </w:r>
      <w:r>
        <w:rPr>
          <w:rFonts w:hint="eastAsia" w:ascii="华康简标题宋" w:hAnsi="仿宋_GB2312" w:cs="Times New Roman"/>
          <w:b/>
          <w:color w:val="auto"/>
          <w:sz w:val="24"/>
          <w:szCs w:val="31"/>
        </w:rPr>
        <w:t>：        分馆                    申请日期：      年      月    日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45"/>
        <w:gridCol w:w="1275"/>
        <w:gridCol w:w="1418"/>
        <w:gridCol w:w="142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color w:val="auto"/>
                <w:sz w:val="31"/>
                <w:szCs w:val="31"/>
              </w:rPr>
            </w:pPr>
            <w:r>
              <w:rPr>
                <w:rFonts w:ascii="仿宋_GB2312" w:hAnsi="仿宋_GB2312" w:cs="仿宋_GB2312"/>
                <w:b/>
                <w:color w:val="auto"/>
                <w:sz w:val="31"/>
                <w:szCs w:val="31"/>
              </w:rPr>
              <w:t>读者基本信息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31"/>
              </w:rPr>
              <w:t>读者姓名</w:t>
            </w:r>
          </w:p>
        </w:tc>
        <w:tc>
          <w:tcPr>
            <w:tcW w:w="2720" w:type="dxa"/>
            <w:gridSpan w:val="2"/>
            <w:noWrap w:val="0"/>
            <w:vAlign w:val="top"/>
          </w:tcPr>
          <w:p>
            <w:pPr>
              <w:rPr>
                <w:rFonts w:ascii="仿宋_GB2312" w:hAnsi="仿宋_GB2312" w:cs="仿宋_GB2312"/>
                <w:color w:val="auto"/>
                <w:sz w:val="31"/>
                <w:szCs w:val="3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31"/>
              </w:rPr>
              <w:t>近12个月借书</w:t>
            </w:r>
            <w:r>
              <w:rPr>
                <w:rFonts w:ascii="仿宋_GB2312" w:hAnsi="仿宋_GB2312" w:cs="仿宋_GB2312"/>
                <w:color w:val="auto"/>
                <w:sz w:val="24"/>
                <w:szCs w:val="31"/>
              </w:rPr>
              <w:t>册次</w:t>
            </w:r>
          </w:p>
        </w:tc>
        <w:tc>
          <w:tcPr>
            <w:tcW w:w="326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31"/>
              </w:rPr>
              <w:t>读者证号</w:t>
            </w:r>
          </w:p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31"/>
              </w:rPr>
              <w:t>（可多个）</w:t>
            </w:r>
          </w:p>
        </w:tc>
        <w:tc>
          <w:tcPr>
            <w:tcW w:w="7398" w:type="dxa"/>
            <w:gridSpan w:val="6"/>
            <w:noWrap w:val="0"/>
            <w:vAlign w:val="top"/>
          </w:tcPr>
          <w:p>
            <w:pPr>
              <w:rPr>
                <w:rFonts w:ascii="仿宋_GB2312" w:hAnsi="仿宋_GB2312" w:cs="仿宋_GB2312"/>
                <w:color w:val="auto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1"/>
                <w:szCs w:val="31"/>
              </w:rPr>
              <w:t>“我+书房”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31"/>
                <w:szCs w:val="31"/>
              </w:rPr>
              <w:t>家庭图书馆情</w:t>
            </w:r>
            <w:r>
              <w:rPr>
                <w:rFonts w:hint="eastAsia" w:ascii="仿宋_GB2312" w:hAnsi="仿宋_GB2312" w:cs="仿宋_GB2312"/>
                <w:b/>
                <w:color w:val="auto"/>
                <w:sz w:val="31"/>
                <w:szCs w:val="3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31"/>
              </w:rPr>
              <w:t>家庭成员数量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31"/>
              </w:rPr>
              <w:t>（人）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31"/>
              </w:rPr>
              <w:t>藏书数量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31"/>
              </w:rPr>
              <w:t>（册）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31"/>
              </w:rPr>
              <w:t>所在楼盘小区名称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  <w:r>
              <w:rPr>
                <w:rFonts w:ascii="仿宋_GB2312" w:hAnsi="仿宋_GB2312" w:cs="仿宋_GB2312"/>
                <w:color w:val="auto"/>
                <w:sz w:val="24"/>
                <w:szCs w:val="31"/>
              </w:rPr>
              <w:t>家庭地址</w:t>
            </w:r>
          </w:p>
        </w:tc>
        <w:tc>
          <w:tcPr>
            <w:tcW w:w="7398" w:type="dxa"/>
            <w:gridSpan w:val="6"/>
            <w:noWrap w:val="0"/>
            <w:vAlign w:val="top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color w:val="auto"/>
                <w:sz w:val="31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1"/>
                <w:szCs w:val="31"/>
              </w:rPr>
              <w:t>“我+书房”</w:t>
            </w:r>
            <w:r>
              <w:rPr>
                <w:rFonts w:hint="eastAsia" w:ascii="仿宋_GB2312" w:hAnsi="仿宋_GB2312" w:cs="仿宋_GB2312"/>
                <w:b/>
                <w:color w:val="auto"/>
                <w:sz w:val="31"/>
                <w:szCs w:val="31"/>
                <w:lang w:val="en-US" w:eastAsia="zh-CN"/>
              </w:rPr>
              <w:t>家庭图书馆</w:t>
            </w:r>
            <w:r>
              <w:rPr>
                <w:rFonts w:hint="eastAsia" w:ascii="仿宋_GB2312" w:hAnsi="仿宋_GB2312" w:cs="仿宋_GB2312"/>
                <w:b/>
                <w:color w:val="auto"/>
                <w:sz w:val="31"/>
                <w:szCs w:val="31"/>
              </w:rPr>
              <w:t>服务细则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31" w:type="dxa"/>
            <w:gridSpan w:val="7"/>
            <w:noWrap w:val="0"/>
            <w:vAlign w:val="top"/>
          </w:tcPr>
          <w:p>
            <w:pPr>
              <w:rPr>
                <w:rFonts w:ascii="仿宋_GB2312" w:hAnsi="仿宋_GB2312" w:cs="仿宋_GB2312"/>
                <w:b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31"/>
              </w:rPr>
              <w:t>权利：</w:t>
            </w:r>
          </w:p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可在统一项目名称的基础上进行个性化命名，如“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val="en-US" w:eastAsia="zh-CN"/>
              </w:rPr>
              <w:t>东莞图书馆（XX分馆）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XXXX我+书房”，并获得统一的名称授牌，颁发成员馆证书或牌匾；</w:t>
            </w:r>
          </w:p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成员馆可优先获得东莞图书馆推送的各类型资源服务，包括书目推荐服务、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eastAsia="zh-CN"/>
              </w:rPr>
              <w:t>数字资源推送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服务、活动进家庭服务等；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3、可获得东莞图书馆或镇（街、园区）分馆举办的名家讲座、培训课程、比赛活动等读者活动优先参加的权利；可在图书馆自行挑选100册图书作为项目启动图书，借阅期为6个月，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val="en-US" w:eastAsia="zh-CN"/>
              </w:rPr>
              <w:t>期间可自由转借和更换图书，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期满可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val="en-US" w:eastAsia="zh-CN"/>
              </w:rPr>
              <w:t>按需整体更换图书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4、可根据自身阅读需求向东莞图书馆或所在的镇（街、园区）分馆提交图书荐购书目清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，并获得所荐购图书的优先借阅权；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5、可利用东莞图书馆及各镇（街、园区）分馆、村（社区）服务点、城市阅读驿站、绘本馆等公共服务空间（场地）开展家庭阅读活动。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31"/>
              </w:rPr>
            </w:pPr>
          </w:p>
          <w:p>
            <w:pPr>
              <w:rPr>
                <w:rFonts w:ascii="仿宋_GB2312" w:hAnsi="仿宋_GB2312" w:cs="仿宋_GB2312"/>
                <w:b/>
                <w:color w:val="auto"/>
                <w:sz w:val="24"/>
                <w:szCs w:val="31"/>
              </w:rPr>
            </w:pPr>
            <w:r>
              <w:rPr>
                <w:rFonts w:ascii="仿宋_GB2312" w:hAnsi="仿宋_GB2312" w:cs="仿宋_GB2312"/>
                <w:b/>
                <w:color w:val="auto"/>
                <w:sz w:val="24"/>
                <w:szCs w:val="31"/>
              </w:rPr>
              <w:t>义务</w:t>
            </w: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31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1、成员馆要积极发动书友、亲属、邻居家庭加入成员馆，并为书友、亲属、邻居家庭提供图书阅览和图书转借服务，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val="en-US" w:eastAsia="zh-CN"/>
              </w:rPr>
              <w:t>通过东莞图书馆微信公众号微服务大厅移动总分馆平台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转借图书不少于20册次；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  <w:t>2、服务的书友、亲属或邻居家庭不少于3家，每年开展读者活动（书友会、沙龙、故事会等阅读主题活动）不少于2场，并将活动情况以图片、视频、报道等方式，利用自媒体平台（微信、微博、抖音等）进行对外发布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1"/>
                <w:lang w:val="en-US" w:eastAsia="zh-CN"/>
              </w:rPr>
              <w:t>3、成员馆要加强对图书、证号和密码的管理，避免出现图书损坏、丢失以及证号被盗用等情况。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95D7E"/>
    <w:rsid w:val="111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table" w:styleId="4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2021-04-21T01:06:00Z</dcterms:created>
  <dc:creator>WPS_1502963100</dc:creator>
  <cp:lastModifiedBy>WPS_1502963100</cp:lastModifiedBy>
  <dcterms:modified xsi:type="dcterms:W3CDTF">2021-04-21T01:06:21Z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